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79FFDE">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14:paraId="1359DBB7">
      <w:pPr>
        <w:spacing w:line="540" w:lineRule="exact"/>
        <w:jc w:val="center"/>
        <w:rPr>
          <w:rFonts w:ascii="华文中宋" w:hAnsi="华文中宋" w:eastAsia="华文中宋" w:cs="宋体"/>
          <w:b/>
          <w:kern w:val="0"/>
          <w:sz w:val="52"/>
          <w:szCs w:val="52"/>
        </w:rPr>
      </w:pPr>
    </w:p>
    <w:p w14:paraId="794EBCE4">
      <w:pPr>
        <w:spacing w:line="540" w:lineRule="exact"/>
        <w:jc w:val="center"/>
        <w:rPr>
          <w:rFonts w:ascii="华文中宋" w:hAnsi="华文中宋" w:eastAsia="华文中宋" w:cs="宋体"/>
          <w:b/>
          <w:kern w:val="0"/>
          <w:sz w:val="52"/>
          <w:szCs w:val="52"/>
        </w:rPr>
      </w:pPr>
    </w:p>
    <w:p w14:paraId="5CB1669F">
      <w:pPr>
        <w:spacing w:line="540" w:lineRule="exact"/>
        <w:jc w:val="center"/>
        <w:rPr>
          <w:rFonts w:ascii="华文中宋" w:hAnsi="华文中宋" w:eastAsia="华文中宋" w:cs="宋体"/>
          <w:b/>
          <w:kern w:val="0"/>
          <w:sz w:val="52"/>
          <w:szCs w:val="52"/>
        </w:rPr>
      </w:pPr>
    </w:p>
    <w:p w14:paraId="1CBABBE7">
      <w:pPr>
        <w:spacing w:line="540" w:lineRule="exact"/>
        <w:jc w:val="center"/>
        <w:rPr>
          <w:rFonts w:ascii="华文中宋" w:hAnsi="华文中宋" w:eastAsia="华文中宋" w:cs="宋体"/>
          <w:b/>
          <w:kern w:val="0"/>
          <w:sz w:val="52"/>
          <w:szCs w:val="52"/>
        </w:rPr>
      </w:pPr>
    </w:p>
    <w:p w14:paraId="42C7541A">
      <w:pPr>
        <w:spacing w:line="540" w:lineRule="exact"/>
        <w:jc w:val="center"/>
        <w:rPr>
          <w:rFonts w:ascii="华文中宋" w:hAnsi="华文中宋" w:eastAsia="华文中宋" w:cs="宋体"/>
          <w:b/>
          <w:kern w:val="0"/>
          <w:sz w:val="52"/>
          <w:szCs w:val="52"/>
        </w:rPr>
      </w:pPr>
    </w:p>
    <w:p w14:paraId="73F23259">
      <w:pPr>
        <w:spacing w:line="540" w:lineRule="exact"/>
        <w:jc w:val="center"/>
        <w:rPr>
          <w:rFonts w:ascii="华文中宋" w:hAnsi="华文中宋" w:eastAsia="华文中宋" w:cs="宋体"/>
          <w:b/>
          <w:kern w:val="0"/>
          <w:sz w:val="52"/>
          <w:szCs w:val="52"/>
        </w:rPr>
      </w:pPr>
    </w:p>
    <w:p w14:paraId="2D82766C">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105CAE8">
      <w:pPr>
        <w:spacing w:line="540" w:lineRule="exact"/>
        <w:jc w:val="center"/>
        <w:rPr>
          <w:rFonts w:ascii="华文中宋" w:hAnsi="华文中宋" w:eastAsia="华文中宋" w:cs="宋体"/>
          <w:b/>
          <w:kern w:val="0"/>
          <w:sz w:val="52"/>
          <w:szCs w:val="52"/>
        </w:rPr>
      </w:pPr>
    </w:p>
    <w:p w14:paraId="5645C633">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4DD17AE7">
      <w:pPr>
        <w:spacing w:line="540" w:lineRule="exact"/>
        <w:jc w:val="center"/>
        <w:rPr>
          <w:rFonts w:hAnsi="宋体" w:eastAsia="仿宋_GB2312" w:cs="宋体"/>
          <w:kern w:val="0"/>
          <w:sz w:val="30"/>
          <w:szCs w:val="30"/>
        </w:rPr>
      </w:pPr>
    </w:p>
    <w:p w14:paraId="7864D631">
      <w:pPr>
        <w:spacing w:line="540" w:lineRule="exact"/>
        <w:jc w:val="center"/>
        <w:rPr>
          <w:rFonts w:hAnsi="宋体" w:eastAsia="仿宋_GB2312" w:cs="宋体"/>
          <w:kern w:val="0"/>
          <w:sz w:val="30"/>
          <w:szCs w:val="30"/>
        </w:rPr>
      </w:pPr>
    </w:p>
    <w:p w14:paraId="1951DA0C">
      <w:pPr>
        <w:spacing w:line="540" w:lineRule="exact"/>
        <w:jc w:val="center"/>
        <w:rPr>
          <w:rFonts w:hAnsi="宋体" w:eastAsia="仿宋_GB2312" w:cs="宋体"/>
          <w:kern w:val="0"/>
          <w:sz w:val="30"/>
          <w:szCs w:val="30"/>
        </w:rPr>
      </w:pPr>
    </w:p>
    <w:p w14:paraId="7426BE0C">
      <w:pPr>
        <w:spacing w:line="540" w:lineRule="exact"/>
        <w:jc w:val="center"/>
        <w:rPr>
          <w:rFonts w:hAnsi="宋体" w:eastAsia="仿宋_GB2312" w:cs="宋体"/>
          <w:kern w:val="0"/>
          <w:sz w:val="30"/>
          <w:szCs w:val="30"/>
        </w:rPr>
      </w:pPr>
    </w:p>
    <w:p w14:paraId="0D55BB56">
      <w:pPr>
        <w:spacing w:line="540" w:lineRule="exact"/>
        <w:jc w:val="center"/>
        <w:rPr>
          <w:rFonts w:hAnsi="宋体" w:eastAsia="仿宋_GB2312" w:cs="宋体"/>
          <w:kern w:val="0"/>
          <w:sz w:val="30"/>
          <w:szCs w:val="30"/>
        </w:rPr>
      </w:pPr>
    </w:p>
    <w:p w14:paraId="2D009827">
      <w:pPr>
        <w:spacing w:line="540" w:lineRule="exact"/>
        <w:rPr>
          <w:rFonts w:hAnsi="宋体" w:eastAsia="仿宋_GB2312" w:cs="宋体"/>
          <w:kern w:val="0"/>
          <w:sz w:val="30"/>
          <w:szCs w:val="30"/>
        </w:rPr>
      </w:pPr>
    </w:p>
    <w:p w14:paraId="0AD9D5B4">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1E82372">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旅游保障金</w:t>
      </w:r>
    </w:p>
    <w:p w14:paraId="21A4AA14">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尼勒克县唐布拉旅游风景区管理委员会</w:t>
      </w:r>
    </w:p>
    <w:p w14:paraId="451D76B1">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尼勒克县唐布拉旅游风景区管理委员会</w:t>
      </w:r>
    </w:p>
    <w:p w14:paraId="165F2B56">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龚秀琴</w:t>
      </w:r>
    </w:p>
    <w:p w14:paraId="5C0E3D36">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2025年04月25日</w:t>
      </w:r>
    </w:p>
    <w:p w14:paraId="294F1896">
      <w:pPr>
        <w:spacing w:line="700" w:lineRule="exact"/>
        <w:ind w:firstLine="708" w:firstLineChars="236"/>
        <w:jc w:val="left"/>
        <w:rPr>
          <w:rFonts w:hAnsi="宋体" w:eastAsia="仿宋_GB2312" w:cs="宋体"/>
          <w:kern w:val="0"/>
          <w:sz w:val="30"/>
          <w:szCs w:val="30"/>
        </w:rPr>
      </w:pPr>
    </w:p>
    <w:p w14:paraId="5A6EEF68">
      <w:pPr>
        <w:spacing w:line="540" w:lineRule="exact"/>
        <w:rPr>
          <w:rStyle w:val="18"/>
          <w:rFonts w:ascii="黑体" w:hAnsi="黑体" w:eastAsia="黑体"/>
          <w:b w:val="0"/>
          <w:spacing w:val="-4"/>
          <w:sz w:val="32"/>
          <w:szCs w:val="32"/>
        </w:rPr>
      </w:pPr>
    </w:p>
    <w:p w14:paraId="6CE35C7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695F52D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14:paraId="08F8F31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2021年12月，国务院印发《关于印发“十四五”旅游业发展规划的通知》（国发〔2021〕32号），文件指出建设文化强国为旅游业明确了发展方向，也需要旅游业更加主动发挥作用。推进文化强国建设，要求以文塑旅、以旅彰文，推进文化和旅游业融合发展。着力完善现代旅游业体系，加快旅游强国建设，努力实现旅游业更高质量、更有效率、更加公平、更可持续、更为安全的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唐布拉风景区位于新疆伊犁哈萨克自治州尼勒克县东部，属喀什河上游峡谷草原景观带统称，总面积涵盖113条沟谷，形成融森林、草原、雪山、温泉于一体的“百里画廊”自然景观区。核心景点包括唐布拉草原、仙女湖及孟克特古道，兼具哈萨克民俗文化与影视取景地功能。作为全天候开放景区，现已成为集生态观光、温泉疗养、探险徒步于一体的综合性旅游目的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为切实做好2024年我县景区旅游旺季服务保障工作，有效应对独库公路乔尔玛路段突发应急状况，不断提升旅游服务质量和游客满意度，结合我县实际，计划实施本项目。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（1）项目名称：旅游保障金项目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主要内容：大力实施“旅游兴县”战略，按照“以人为本，预防为主，快速反应，联动处置”原则，把保障游客健康和生命财产安全作为景区首要任务，层层落实责任，形成统一指挥、反应灵敏、协调有序、运转高效的应急管理机制，对各种突发事件做到“重预防、早发现、快处置”，以优质的服务树立我县旅游新形象，为打造“甜蜜尼勒克宜居康养城”品牌贡献积极力量。尼勒克唐布拉风景旅游区管理委员会为切实做好2024年我县景区旅游旺季服务保障工作，有效应对独库公路乔尔玛路段突发应急状况，不断提升旅游服务质量和游客满意度，结合我县实际，保障50名工作人员伙食补助，从而能更好的开展工作，提升对景区游客服务质量，保障景区6辆公务用车每日正常运行，保障工作人员正常开展工作，提高工作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实施主体：尼勒克县唐布拉风景旅游区管理委员会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实施时间：本项目实施时间为2024年5月—2024年11月。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此项目为旅游保障经费类项目，为大力实施“旅游兴县”战略，按照“以人为本，预防为主，快速反应，联动处置”原则，把保障游客健康和生命财产安全作为景区首要任务，层层落实责任，形成统一指挥、反应灵敏、协调有序、运转高效的应急管理机制，对各种突发事件做到“重预防、早发现、快处置”，以优质的服务树立我县旅游新形象，为打造“甜蜜尼勒克宜居康养城”品牌贡献积极力量，提升旅游服务质量和游客满意度。2024年初根据往年支出情况编制预算计划，通过财政部门审核通过后，每月按照实际情况向财政申请支付资金。截至2024年12月底，本项目已完成公务保障用车数量达到6辆，保障工作人员数量达到50人，保障覆盖率达到100%，项目完成时间为2024年11月22日，项目实际支出23.76万元，通过该项目的实施，提升旅游服务质量，保障人员满意度达到95%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4.项目实施主体</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（1）主要职能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相关法律法规，负责管理旅游风景区内的旅游资源；负责景区的规划、开发、建设工作；负责景区的生态环境保护；在景区范围内实施旅游行业管理。依据相关法律法规，对景区内的经营企业进行行业管理，协调区域内农牧民与经营企业的关系，营造一个良好的经营环境，保护农牧民的利益。负责维护，管理景区基础设施，推动景区旅游事业的发展。依据相关法律法规，对景区内的消防、治安进行管理。完成县委、县人民政府交办的其他工作。贯彻执行国家、自治区及州旅游行政法律法规、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针、政策，管理县域境内的旅游资源、旅游企业，充分发挥政府旅游职能。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制定尼勒克县旅游业发展的战略目标；编制全县旅游事业的中长期发展规划和年度计划并组织实施。深化旅游体制改革，协同有关部门培育和完善旅游市场，扩大旅游业的对外开放，落实旅游企业的经营自主权。促进和引导旅游业利用外资和社会投资工作，负责全县旅游资源的普查、协调、开发利用和保护工作；负责上级下达的旅游事业发展投资立项，重点旅游建设项目实施宏观指导和检查。负责组织尼勒克县旅游整体形象的宣传活动。对全县从事旅游业务的企业进行行业管理和业务监督指导、归口审核报批旅游业务的旅行社、旅游公司，选定旅游宾馆并对其进行行业管理。会同有关部门协调旅游安全、娱乐等工作，加大整个景区的执法力度。监督、检查旅游服务质量，受理旅游者的投诉，维护旅游者合法权益。协助有关部门做好全县宾馆、饭店、景区（点）从业人员的培训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（2）机构设置情况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尼勒克县唐布拉旅游风景区管理委员会无下属预算单位，下设3个科室，分别是：综合协调科、资源环境管理科、规划建设监督科。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尼勒克县唐布拉旅游风景区管理委员会编制数10，实有人数10人，其中：在职9人，县聘1人；退休5人，离休0人。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（1）项目资金安排落实、总投入等情况分析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本项目预算安排总额为23.76万元，资金来源为年中向本级县财力申请的旅游旺季服务保障金项目，其中：财政资金23.76万元，其他资金0万元，2024年实际收到预算资金23.76万元，预算资金到位率为100%。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（2）项目资金实际使用情况分析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本项目实际支付资金23.76万元，预算执行率100%。本项目资金主要用于支付旅游旺季景区50个工作人员日常伙食及办公费用12.76万元、旅游旺季景区6辆公务车辆的日常运转费用11万元。</w:t>
      </w:r>
    </w:p>
    <w:p w14:paraId="5191B688">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14:paraId="5E1453B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1.项目绩效总目标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尼勒克唐布拉风景旅游区管理委员会为切实做好2024年我县景区旅游旺季服务保障工作，有效应对独库公路乔尔玛路段突发应急状况，不断提升旅游服务质量和游客满意度，结合我县实际，为保障50名工作人员日常伙食及办公费用，从而能更好的开展工作，提升对景区游客服务质量，保障景区6辆公务用车每日正常运行，保障工作人员正常开展工作，提高工作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前期准备工作：此项目实施前期，为切实做好2024年唐布拉景区旅游旺季服务保障工作，有效应对唐布拉景区S315沿线、独库公路乔尔玛段旅游旺季各项旅游保障工作有序开展，单位负责项目的领导人员向县财经领导小组委员会申请解决唐布拉景区旅游旺季服务保障经费等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尼勒克唐布拉风景旅游区管理委员会为切实做好2024年5月至11月我县景区旅游旺季服务保障工作，有效应对独库公路乔尔玛路段突发应急状况，不断提升旅游服务质量和游客满意度，根据项目经费保障50名工作人员日常伙食及办公费用实际支出情况，申请财政部门按需支付资金，从而能更好的开展工作，提升对景区游客服务质量，保障景区6辆公务用车每日正常运行，保障工作人员正常开展工作，提高工作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完成：尼勒克唐布拉风景旅游区管理委员会2024年5月至11月以优质的服务树立我县旅游新形象，有效应对独库公路乔尔玛路段突发应急状况，打造“甜蜜尼勒克宜居康养城”品牌贡献积极力量，提升旅游服务质量和游客满意度。截至2024年12月底，本项目已完成公务保障用车数量达到6辆，保障工作人员数量达到50人，保障覆盖率达到100%，项目完成时间为2024年11月22日，项目实际支出23.76万元，通过该项目的实施，提升旅游服务质量，保障人员满意度达到95%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（1）项目产出指标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①数量指标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“公务保障用车数量”指标，预期指标值为“大于等于6辆”；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“保障工作人员”指标，预期指标值为“大于等于50人”。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②质量指标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“保障覆盖率”指标，预期指标值为“等于100%”。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③时效指标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“项目完成时间”指标，预期指标值为“2024年11月30日前”。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（2）项目成本指标指标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①经济成本指标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“人员支出经费数”指标，预期指标值为“小于等于12.76万元”；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“车辆支出经费数”指标，预期指标值为“小于等于11万元”。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②社会成本指标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无此类指标。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③生态环境成本指标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无此类指标。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无此类指标。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“提升旅游服务质量”指标，预期指标值为“有所提升”。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无此类指标。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（4）项目满意度指标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①满意度指标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“保障人员满意度”指标，预期指标值为“大于等于90%”。</w:t>
      </w:r>
    </w:p>
    <w:p w14:paraId="4CDBE12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14:paraId="2A58866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12A02D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1.绩效评价的目的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此次我单位根据《财政支出绩效评价管理暂行办法》（财预〔2020〕10号）文件要求实施评价工作，本次评价对象为尼勒克唐布拉风景旅游区管委会旅游保障金项目，评价核心为项目资金、项目产出、项目效益。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63BB42D3">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14:paraId="21FF814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根据以上原则，绩效评价应遵循如下要求: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（2）保证评价结果的真实性、公正性，提高评价报告的公信力。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旅游保障金支出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方法主要包括成本效益分析法、比较法、因素分析法、最低成本法、公众评判法、标杆管理法等。我单位根据本项目资金的性质和特点，选用因素分析法对项目进行评价，旨在通过综合分析影响绩效目标实现、实施效果的内外部因素，从而评价本项目绩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三级指标分析环节：总体采用比较法，同时辅以文献法、成本效益法、因素分析法以及公众评判法，根据不同三级指标类型进行逐项分析。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立项依据充分性：比较法、文献法，查找法律法规政策以及规划，对比实际执行内容和政策支持内容是否匹配。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立项程序规范性：比较法、文献法，查找相关项目设立的政策和文件要求，对比分析实际执行程序是否按照政策及文件要求执行，分析立项程序的规范性。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绩效目标合理性：比较法，对比分析年初编制项目支出绩效目标表与项目内容的相关性、资金的匹配性等。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绩效指标明确性：比较法，比较分析年初编制项目支出绩效目标表是否符合双七原则，是否可衡量。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预算编制科学性：成本效益分析法</w:t>
      </w:r>
      <w:r>
        <w:rPr>
          <w:rStyle w:val="18"/>
          <w:rFonts w:hint="eastAsia" w:ascii="楷体" w:hAnsi="楷体" w:eastAsia="楷体"/>
          <w:spacing w:val="-4"/>
          <w:sz w:val="32"/>
          <w:szCs w:val="32"/>
        </w:rPr>
        <w:tab/>
        <w:t>分析在产出一定的情况下，成本取值是否有依据，是否经过询价，是否按照市场最低成本编制。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资金分配合理性：因素分析法，综合分析资金的分配依据是否充分，分配金额是否与项目实施单位需求金额一致，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资金到位率：比较法，资金到位率预期指标值应为100.00%，通过实际计算，分析实际完成值和预期指标值之间的差距和原因。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预算执行率：比较法，预算执行率预期指标值应为100.00%，通过实际计算，分析实际完成值和预期指标值之间的差距和原因。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资金使用合规性：文献法、实地勘察法，一是查找资金管理办法，包括专项资金管理办法和单位自有资金管理办法；二是通过查账了解具体开支情况，是否专款专用，是否按照标准支出。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制度执行有效性：比较法，结合项目实际实施过程性文件，根据已建设的财务管理制度和项目管理制度综合分析制度执行的有效性。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定性指标：公众评判法，通过问卷及抽样调查等方式评价本项目实施后社会公众对于其实施效果的满意程度。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5D1DF44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于2025年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龚秀琴（评价小组组长）：主要负责主要负责项目策划和监督，全面负责项目绩效评价报告的最终质量，对评估人员出具的最终报告质量进行复核，确保评估结果的客观性；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魏新爱（评价小组组员）：主要负责资料的收集，取证、数据统计分析；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巴图（评价小组组员）：主要负责项目报告的制定，指标的研判，数据分析及报告撰写。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3月1日-3月10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2024年3月11日-3月20日，评价小组按照绩效评价的原则和规范，对取得的资料进行审查核实，对采集的数据进行分析，按照绩效评价指标评分表逐项进行打分、分析、汇总各方评价结果。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4.撰写与提交评价报告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2024年3月21日-3月25日，评价小组撰写绩效评价报告，按照新疆维吾尔自治区财政绩效管理信息系统绩效评价模块中统一格式和文本框架撰写绩效评价报告并提交审核。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5.问题整改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6.档案整理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建立和落实档案管理制度，将项目相关资料存档，包括但不限于：评价项目基本情况和相关文件、评价实施方案、项目支付资料等相关档案。</w:t>
      </w:r>
    </w:p>
    <w:p w14:paraId="6130A00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14:paraId="2177354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秀。本项目较大程度达成年初设立的绩效目标，在实施过程中取得了良好的成效，具体表现在以下三方面：</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一是领导高度重视。旅游保障资金预算下拨后，主要领导和分管领导高度重视，落实责任分工，确保项目顺利进行。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二是管理愈加规范。制定了专项资金管理工作制度，明确了资金付款流程，统一了资金申请手续，做到了层层审核、层层负责、层层把关，付款中全部要求请款单位提供正规发票，没有白条入账现象。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三是使服务更为细。确保项目发展好。坚持项目落地为“第一标准”,全力保障资金使用准确性，合规性。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中共中央国务院关于全面实施预算绩效管理的意见》《项目支出绩效评价管理办法》（财预〔2020〕10号）文件，绩效评价总分设置为100分，划分为四档：90（含）-100分为“优”、80（含）-90分为“良”、70（含）-80分为“中”、70分以下为“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本项目年初预算资金总额为23.97万元，全年预算数为23.76万元，全年执行数为23.76万元，预算执行率为100%。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旅游保障金项目支出绩效评价指标体系总体完成率为100%，项目预算执行率与旅游保障金项目支出绩效评价指标体系总体完成率之间的偏差为0%。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评价分析，项目总体实施情况较好，项目综合得分为100分，评价结果为优秀。实际已完成公务保障用车数量达到6辆，保障工作人员数量达到50人，保障覆盖率达到100%，项目完成时间为2024年11月22日，项目实际支出23.76万元，通过该项目的实施，提升旅游服务质量，保障人员满意度达到95%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（三）相关评分表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绩效评价通过绩效评价小组论证的评价指标体系及评分标准，采用比较法、公众评判法、因素分析法等对该项目绩效进行客观评价，本项目共设置三级指标数量19个，实现三级指标数量19个，总体完成率为100%。综合评价结论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项目决策类指标共设置6个，满分指标6个，得分率100%；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过程管理类指标共设置5个，满分指标5个，得分率100%；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项目产出类指标共设置4个，满分指标4个，得分率100%；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项目成本类指标共设置2个，满分指标2个，得分率100%；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项目效益类指标共设置2个，满分指标2个，得分率100%。</w:t>
      </w:r>
    </w:p>
    <w:p w14:paraId="7542F838">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14:paraId="253974F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14:paraId="284985B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项目决策类指标由3个二级指标和6个三级指标构成，权重分21分，实际得分21分。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1.项目立项情况分析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立项符合《关于印发“十四五”旅游业发展规划的通知》（国发〔2021〕32号）文件中着力完善现代旅游业体系，加快旅游强国建设，努力实现旅游业更高质量、更有效率、更加公平、更可持续、更为安全的发展的要求。本项目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本项目立项符合《尼勒克县唐布拉旅游风景区管理委员会单位配置内设机构和人员编制规定》中职责范围中的“在景区范围内实施旅游行业管理。”，属于我单位履职所需；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根据《财政资金直接支付申请书》，本项目资金性质为“公共财政预算”功能分类为“2070199”经济分类为“30106、30239、30201”属于公共财政支持范围，符合中央、地方事权支出责任划分原则；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经检查我单位财政应用平台指标，本项目不存在重复。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综上所述，本指标满分为5分，根据评分标准得5分，本项目立项依据充分。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县财经领导小组委员会关于解决唐布拉景区旅游旺季服务保障经费的报告和尼勒克县2024年旅游旺季服务保障工作方案文件要求实施项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综上所述，本指标满分为3分，根据评分标准得3分，本项目立项程序规范。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2.绩效目标情况分析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已设置年度绩效目标，具体内容为“尼勒克唐布拉风景旅游区管理委员会为切实做好2024年我县景区旅游旺季服务保障工作，有效应对独库公路乔尔玛路段突发应急状况，不断提升旅游服务质量和游客满意度，结合我县实际，制定本方案保障50名工作人员伙食补助，从而能更好的开展工作，提升对景区游客服务质量，保障景区6辆公务用车每日正常运行，保障工作人员正常开展工作，提高工作效率。”；本项目实际工作内容为：截止2024年12月31日，本项目实际支出资金23.76万元，预算执行率为100%。实际已完成公务保障用车数量达到6辆，保障工作人员数量达到50人，保障覆盖率达到100%，项目完成时间为2024年11月22日，项目实际支出23.76万元，通过该项目的实施，提升旅游服务质量，保障人员满意度达到95%。绩效目标与实际工作内容一致，两者具有相关性;本项目按照绩效目标完成了数量指标、质量指标、时效指标、成本指标，有效应对独库公路乔尔玛路段突发应急状况，打造“甜蜜尼勒克宜居康养城”品牌贡献积极力量，提升旅游服务质量和游客满意度。年度绩效目标完成，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综上所述，本指标满分为4分，根据评分标准得4分，本项目绩效目标设置合理。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检查我单位年初设置的《项目支出绩效目标表》，得出如下结论：本项目已将年度绩效目标进行细化为绩效指标体系，共设置一级指标4个，二级指标6个，三级指标8个，定量指标6个，定性指标6个，指标量化率为75%，量化率达70.00%以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综上所述，本指标满分为3分，根据评分标准得3分，本项目所设置绩效指标明确。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3.资金投入情况分析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本项目预算编制根据以前年度相同项目为测算依据并向县财经领导小组委员会提出申请计划，即预算编制较科学且经过论证；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预算申请内容为切实做好2024年唐布拉景区旅游旺季服务保障工作，有效应对唐布拉景区S315沿线、独库公路乔尔玛段旅游旺季各项旅游保障工作有序开展，同时保障50名工作人员伙食补助，从而能更好的开展工作，提升对景区游客服务质量，保障景区6辆公务用车每日正常运行，保障工作人员正常开展工作，提高工作效率。项目实际内容为保障50名工作人员伙食及办公费用，从而能更好的开展工作，提升对景区游客服务质量，保障景区6辆公务用车每日正常运行，保障工作人员正常开展工作，提高工作效率。预算申请与《尼勒克县2024年旅游旺季服务保障工作项目实施方案》中涉及的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申请资金23.97万元，我单位在预算申请中严格按照单位标准和数量进行核算，其中：公务保障用车数量6辆，保障工作人员50人，人员支出经费数12.76万元，车辆支出经费数11万元。本项目预算额度测算依据充分，严格按照标准编制，预算确定资金量与实际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综上所述，本指标满分为4分，根据评分标准4分，本项目预算编制科学。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唐布拉景区旅游旺季服务保障经费项目资金的请示》和《尼勒克县2024年旅游旺季服务保障项目实施方案》为依据进行资金分配，预算资金分配依据充分。根据《关于解决唐布拉景区旅游旺季服务保障经费的报告》文件显示，本项目实际到位资金23.76万元，实际分配资金与我单位提交申请的资金额度一致，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综上所述，本指标满分为2分，根据评分标准得2分，本项目资金分配合理。</w:t>
      </w:r>
    </w:p>
    <w:p w14:paraId="279CAB9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14:paraId="406F39A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项目过程管理类指标由2个二级指标和5个三级指标构成，权重分19分，实际得分19分。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1.资金管理情况分析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资金为23.76万元，其中：本级财政安排资金23.76万元，其他资金0万元，实际到位资金23.76万元，资金到位率=（实际到位资金/预算资金）×100.00%=（23.76/23.76）*100.00%=100.00%。得分=资金到位率*分值=100.00%*3=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综上所述，本指标满分为3分，根据评分标准得3分。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本项目实际支出资金23.76万元，预算执行率=（实际支出资金/实际到位资金）×100.00%=（23.76/23.76）*100.00%=100%。得分=预算执行率*分值=100%*5=5分。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综上所述，本指标满分为5分，根据评分标准得5分。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检查本项目签订的合同、资金申请文件、发票等财务付款凭证，得出本项目资金支出符合国家财经法规、《政府会计制度》以及《尼勒克县唐布拉旅游风景区管理委员会资金管理办法》《尼勒克县唐布拉旅游风景区管理委员会财务管理制度》，资金的拨付有完整的审批程序和手续，资金实际使用方向与预算批复用途一致，不存在截留、挤占、挪用、虚列支出的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综上所述，本指标满分为5分，根据评分标准得5分，资金支出符合我单位财务管理制度规定。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2.组织实施情况分析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已制定《尼勒克县唐布拉旅游风景区管理委员会预算业务控制管理制度》《尼勒克县唐布拉旅游风景区管理委员会收支业务控制管理制度》《尼勒克县唐布拉旅游风景区管理委员会国有资产业务控制管理制度》《尼勒克县唐布拉旅游风景区管理委员会合同业务控制管理制度》，上述已建立的制度均符合行政事业单位内控管理要求，财务和业务管理制度合法、合规、完整，本项目执行符合上述制度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综上所述，本指标满分为2分，根据评分标准得2分，项目制度建设健全。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项目管理制度和财务管理制度，得出本项目严格按照本单位已建立制度执行。项目资金支出严格按照自治区、地州、县以及本单位资金管理办法执行，项目启动实施后，为了加快本项目的实施，成立了项目工作领导小组，由王宏任组长，负责项目的组织工作；龚秀琴任副组长，负责项目的实施、监督管理、验收等工作；组员包括：魏新爱和巴图，主要负责资金核拨等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综上所述，本指标满分为4分，根据评分标准得4分，本项目所建立制度执行有效。</w:t>
      </w:r>
    </w:p>
    <w:p w14:paraId="0602F92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14:paraId="3B1C5BC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项目产出类指标由3个二级指标和4个三级指标构成，权重分28分，实际得分28分，得分率为100%。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1.数量指标完成情况分析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“公务保障用车数量”指标：预期指标值为“大于等于6辆”，实际完成指标值为“6辆”，指标完成率为100%。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综上所述，本指标满分为2分，根据评分标准得2分。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“保障工作人员”指标：预期指标值为“大于等于50人”，实际完成指标值为“50人”，指标完成率为100%。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综上所述，本指标满分为6分，根据评分标准得6分。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2.质量指标完成情况分析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“保障覆盖率”指标：预期指标值为“等于100%”，实际完成指标值为“100%”，指标完成率为100%。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综上所述，本指标满分为10分，根据评分标准得10分。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3.时效指标完成情况分析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“项目完成时间”指标：预期指标值为“2024年11月30日前”，实际完成指标值为“2024年11月30日”，指标完成率为100%。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综上所述，本指标满分为10分，根据评分标准得10分。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项目成本情况指标由1个二级指标和2个三级指标构成，权重分10分，实际得分10分。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4.经济成本指标完成情况分析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“人员支出经费数”指标：预期指标值为“小于等于12.76万元”，实际完成指标值为“12.76万元”，指标完成率为100%。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综上所述，本指标满分为6分，根据评分标准得6分。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“车辆支出经费数”指标：预期指标值为“小于等于11万元”，实际完成指标值为“11万元”，指标完成率为100%。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综上所述，本指标满分为4分，根据评分标准得4分。</w:t>
      </w:r>
    </w:p>
    <w:p w14:paraId="49FAA82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14:paraId="3010DFF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项目效益类指标由2个二级指标和2个三级指标构成，权重分22分，实际得分22分。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1.社会效益完成情况分析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“提升旅游服务质量”指标：预期指标值为“有所提升”，实际完成指标值为“基本达成目标”，指标完成率为100%。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综上所述，本指标满分为12分，根据评分标准得12分。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2.满意度完成情况分析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“保障人员满意度”指标：预期指标值为“大于等于90%”，实际完成指标值为“95%”，指标完成率为100%。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综上所述，本指标满分为10分，根据评分标准得10分。</w:t>
      </w:r>
    </w:p>
    <w:p w14:paraId="7729649D">
      <w:pPr>
        <w:spacing w:line="540" w:lineRule="exact"/>
        <w:ind w:firstLine="567"/>
        <w:rPr>
          <w:rStyle w:val="18"/>
          <w:rFonts w:ascii="楷体" w:hAnsi="楷体" w:eastAsia="楷体"/>
          <w:spacing w:val="-4"/>
          <w:sz w:val="32"/>
          <w:szCs w:val="32"/>
        </w:rPr>
      </w:pPr>
    </w:p>
    <w:p w14:paraId="0A05BF98">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14:paraId="1993D4B5">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1.领导高度重视。专项资金预算下拨后，主要领导和分管领导高度重视，落实责任分工，确保项目顺利进行。</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2.管理愈加规范。制定了专项资金管理工作制度，明确了资金付款流程，统一了资金申请手续，做到了层层审核、层层负责、层层把关，付款中全部要求请款单位提供正规发票，没用白条入账现象。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3.使服务更为细化。确保项目发展好，坚持项目落地为“第一标准”,全力保障资金使用准确性，合规性。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1.生态保护与旅游开发矛盾突出。旺季存在游客超载、垃圾处理不当、植被破坏等问题，环保监管手段滞后，缺乏智能化监测系统。</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2.服务质量与游客需求不匹配。厕所、停车场、导览标志等基础设施不足，工作人员服务意识薄弱，投诉处理机制低效。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预算控制比较薄弱。首先是预算编制比较粗糙，没有细化到具体项目，预算支出达不到逐笔进行核定的要求。预算刚性不够，预算的计划性、科学性不强，预算调整追加较为频繁，资金使用缺乏预见性，削弱了预算的约束控制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（三）下一步改进措施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1.加强生态保护与科技应用。部署AI监管系统，实时监测违规行为和环境变化，推行预约制，分时游览，核心区域设置生态保护区并严格陷入。</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2.提升服务品质与游客体验。增加无障碍设施、母婴室、智慧导览系统，优化厕所卫生管理。定期开展服务技能与应急处理培训，建立游客满意度考核机制。</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根据项目需求，制定详细的绩效目标计划，定期对项目绩效目标的完成情况进行全面评估，总结经验教训，对不合理的绩效目标进行调整优化，为后续项目提供参考。针对绩效工作相关知识和技能，定期参见培训学习，提高对绩效工作的认识和理解，确保能够准确把握绩效要求，明确绩效工作方向。</w:t>
      </w:r>
    </w:p>
    <w:p w14:paraId="5753D6DB">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14:paraId="466664C1">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持续推进“微笑尼勒克”，营造“微笑服务”浓厚氛围，营造热情、好客的良好氛围。结合自然资源局、天西林业部门、国家林草等部门政策要求，有序对乔尔玛片区、伊森布谷片区、阔尔克等片区按规划逐步实施。加大景区推介宣传，推出一批特色旅游精品线路。</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建立项目绩效监控机制，定期对项目绩效目标的完成情况进行跟踪监测，收集相关数据和信息，分析绩效目标与实际执行情况的偏差。开展项目绩效评估工作，在项目实施过程中进行阶段性评估，在项目结束后进行全面评估。</w:t>
      </w:r>
    </w:p>
    <w:p w14:paraId="613407BE">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14:paraId="2419F6BE">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（一）本项目产生的部分间接性效果无法在短期内进行衡量，因此很难认定项目产生的全部效果。通过指标来反映绩效，指标的科学性和全面性需要不断地完善和研究。</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（三）评价结果分别编入政府决算和部门预算，报送本级人民代表大会常务委员会，并依法予以公开。</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pPr>
        <w:spacing w:line="540" w:lineRule="exact"/>
        <w:ind w:firstLine="567"/>
        <w:rPr>
          <w:rStyle w:val="18"/>
          <w:rFonts w:ascii="仿宋" w:hAnsi="仿宋" w:eastAsia="仿宋"/>
          <w:b w:val="0"/>
          <w:spacing w:val="-4"/>
          <w:sz w:val="32"/>
          <w:szCs w:val="32"/>
        </w:rPr>
      </w:pPr>
    </w:p>
    <w:p w14:paraId="23243C18">
      <w:pPr>
        <w:spacing w:line="540" w:lineRule="exact"/>
        <w:ind w:firstLine="567"/>
        <w:rPr>
          <w:rStyle w:val="18"/>
          <w:rFonts w:ascii="仿宋" w:hAnsi="仿宋" w:eastAsia="仿宋"/>
          <w:b w:val="0"/>
          <w:spacing w:val="-4"/>
          <w:sz w:val="32"/>
          <w:szCs w:val="32"/>
        </w:rPr>
      </w:pPr>
    </w:p>
    <w:p w14:paraId="40223C3C">
      <w:pPr>
        <w:spacing w:line="540" w:lineRule="exact"/>
        <w:ind w:firstLine="567"/>
        <w:rPr>
          <w:rStyle w:val="18"/>
          <w:rFonts w:ascii="仿宋" w:hAnsi="仿宋" w:eastAsia="仿宋"/>
          <w:b w:val="0"/>
          <w:spacing w:val="-4"/>
          <w:sz w:val="32"/>
          <w:szCs w:val="32"/>
        </w:rPr>
      </w:pPr>
    </w:p>
    <w:p w14:paraId="7C6DA9A0">
      <w:pPr>
        <w:spacing w:line="540" w:lineRule="exact"/>
        <w:ind w:firstLine="567"/>
        <w:rPr>
          <w:rStyle w:val="18"/>
          <w:rFonts w:ascii="仿宋" w:hAnsi="仿宋" w:eastAsia="仿宋"/>
          <w:b w:val="0"/>
          <w:spacing w:val="-4"/>
          <w:sz w:val="32"/>
          <w:szCs w:val="32"/>
        </w:rPr>
      </w:pPr>
    </w:p>
    <w:p w14:paraId="16116B8B">
      <w:pPr>
        <w:spacing w:line="540" w:lineRule="exact"/>
        <w:ind w:firstLine="567"/>
        <w:rPr>
          <w:rStyle w:val="18"/>
          <w:rFonts w:ascii="仿宋" w:hAnsi="仿宋" w:eastAsia="仿宋"/>
          <w:b w:val="0"/>
          <w:spacing w:val="-4"/>
          <w:sz w:val="32"/>
          <w:szCs w:val="32"/>
        </w:rPr>
      </w:pPr>
    </w:p>
    <w:p w14:paraId="35577642">
      <w:pPr>
        <w:spacing w:line="540" w:lineRule="exact"/>
        <w:ind w:firstLine="567"/>
        <w:rPr>
          <w:rStyle w:val="18"/>
          <w:rFonts w:ascii="仿宋" w:hAnsi="仿宋" w:eastAsia="仿宋"/>
          <w:b w:val="0"/>
          <w:spacing w:val="-4"/>
          <w:sz w:val="32"/>
          <w:szCs w:val="32"/>
        </w:rPr>
      </w:pPr>
    </w:p>
    <w:p w14:paraId="776095BE">
      <w:pPr>
        <w:spacing w:line="540" w:lineRule="exact"/>
        <w:ind w:firstLine="567"/>
        <w:rPr>
          <w:rStyle w:val="18"/>
          <w:rFonts w:ascii="仿宋" w:hAnsi="仿宋" w:eastAsia="仿宋"/>
          <w:b w:val="0"/>
          <w:spacing w:val="-4"/>
          <w:sz w:val="32"/>
          <w:szCs w:val="32"/>
        </w:rPr>
      </w:pPr>
    </w:p>
    <w:p w14:paraId="4F5D9D13">
      <w:pPr>
        <w:spacing w:line="540" w:lineRule="exact"/>
        <w:ind w:firstLine="567"/>
        <w:rPr>
          <w:rStyle w:val="18"/>
          <w:rFonts w:ascii="仿宋" w:hAnsi="仿宋" w:eastAsia="仿宋"/>
          <w:b w:val="0"/>
          <w:spacing w:val="-4"/>
          <w:sz w:val="32"/>
          <w:szCs w:val="32"/>
        </w:rPr>
      </w:pPr>
    </w:p>
    <w:p w14:paraId="555FAFE7">
      <w:pPr>
        <w:spacing w:line="540" w:lineRule="exact"/>
        <w:ind w:firstLine="567"/>
        <w:rPr>
          <w:rStyle w:val="18"/>
          <w:rFonts w:ascii="仿宋" w:hAnsi="仿宋" w:eastAsia="仿宋"/>
          <w:b w:val="0"/>
          <w:spacing w:val="-4"/>
          <w:sz w:val="32"/>
          <w:szCs w:val="32"/>
        </w:rPr>
      </w:pPr>
    </w:p>
    <w:p w14:paraId="52EC0E21">
      <w:pPr>
        <w:spacing w:line="540" w:lineRule="exact"/>
        <w:ind w:firstLine="567"/>
        <w:rPr>
          <w:rStyle w:val="18"/>
          <w:rFonts w:ascii="仿宋" w:hAnsi="仿宋" w:eastAsia="仿宋"/>
          <w:b w:val="0"/>
          <w:spacing w:val="-4"/>
          <w:sz w:val="32"/>
          <w:szCs w:val="32"/>
        </w:rPr>
      </w:pPr>
    </w:p>
    <w:p w14:paraId="44E6E054">
      <w:pPr>
        <w:spacing w:line="540" w:lineRule="exact"/>
        <w:ind w:firstLine="567"/>
        <w:rPr>
          <w:rStyle w:val="18"/>
          <w:rFonts w:ascii="仿宋" w:hAnsi="仿宋" w:eastAsia="仿宋"/>
          <w:b w:val="0"/>
          <w:spacing w:val="-4"/>
          <w:sz w:val="32"/>
          <w:szCs w:val="32"/>
        </w:rPr>
      </w:pPr>
    </w:p>
    <w:p w14:paraId="6838D646">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98F32AA">
        <w:pPr>
          <w:pStyle w:val="12"/>
          <w:jc w:val="center"/>
        </w:pPr>
        <w:r>
          <w:fldChar w:fldCharType="begin"/>
        </w:r>
        <w:r>
          <w:instrText xml:space="preserve">PAGE   \* MERGEFORMAT</w:instrText>
        </w:r>
        <w:r>
          <w:fldChar w:fldCharType="separate"/>
        </w:r>
        <w:r>
          <w:rPr>
            <w:lang w:val="zh-CN"/>
          </w:rPr>
          <w:t>1</w:t>
        </w:r>
        <w:r>
          <w:fldChar w:fldCharType="end"/>
        </w:r>
      </w:p>
    </w:sdtContent>
  </w:sdt>
  <w:p w14:paraId="659798A5">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5C0731FC"/>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34</Pages>
  <Words>104</Words>
  <Characters>598</Characters>
  <Lines>4</Lines>
  <Paragraphs>1</Paragraphs>
  <TotalTime>2</TotalTime>
  <ScaleCrop>false</ScaleCrop>
  <LinksUpToDate>false</LinksUpToDate>
  <CharactersWithSpaces>701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2025-08-05T04:52:41Z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83DFDC2B8B894516BE06871722D4C648_13</vt:lpwstr>
  </property>
</Properties>
</file>